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bookmarkStart w:id="0" w:name="_GoBack"/>
      <w:bookmarkEnd w:id="0"/>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C970A8" w:rsidRDefault="00C970A8" w:rsidP="00C970A8">
      <w:pPr>
        <w:jc w:val="center"/>
        <w:rPr>
          <w:rFonts w:hint="eastAsia"/>
          <w:b/>
          <w:sz w:val="28"/>
          <w:szCs w:val="28"/>
        </w:rPr>
      </w:pPr>
    </w:p>
    <w:p w:rsidR="00AB5F84" w:rsidRPr="00C970A8" w:rsidRDefault="00AB5F84" w:rsidP="00C970A8">
      <w:pPr>
        <w:jc w:val="center"/>
        <w:rPr>
          <w:b/>
          <w:sz w:val="28"/>
          <w:szCs w:val="28"/>
        </w:rPr>
      </w:pPr>
      <w:r w:rsidRPr="00C970A8">
        <w:rPr>
          <w:b/>
          <w:sz w:val="28"/>
          <w:szCs w:val="28"/>
        </w:rPr>
        <w:t>Integrity in Estate Agency Transactions</w:t>
      </w:r>
    </w:p>
    <w:p w:rsidR="00AB5F84" w:rsidRPr="00C970A8" w:rsidRDefault="00AB5F84" w:rsidP="00C970A8">
      <w:pPr>
        <w:jc w:val="center"/>
        <w:rPr>
          <w:b/>
          <w:sz w:val="28"/>
          <w:szCs w:val="28"/>
        </w:rPr>
      </w:pPr>
    </w:p>
    <w:p w:rsidR="00AB5F84" w:rsidRPr="00C970A8" w:rsidRDefault="00AB5F84" w:rsidP="00C970A8">
      <w:pPr>
        <w:jc w:val="center"/>
        <w:rPr>
          <w:b/>
          <w:sz w:val="28"/>
          <w:szCs w:val="28"/>
        </w:rPr>
      </w:pPr>
      <w:r w:rsidRPr="00C970A8">
        <w:rPr>
          <w:b/>
          <w:sz w:val="28"/>
          <w:szCs w:val="28"/>
        </w:rPr>
        <w:t>A Joint EAA and ICAC Publication for Estate Agency Practitioners</w:t>
      </w:r>
    </w:p>
    <w:p w:rsidR="00AB5F84" w:rsidRDefault="00AB5F84" w:rsidP="00AB5F84"/>
    <w:p w:rsidR="00AB5F84" w:rsidRPr="00C970A8" w:rsidRDefault="00C970A8" w:rsidP="00AB5F84">
      <w:pPr>
        <w:rPr>
          <w:b/>
        </w:rPr>
      </w:pPr>
      <w:r>
        <w:br w:type="page"/>
      </w:r>
      <w:r w:rsidR="00AB5F84" w:rsidRPr="00C970A8">
        <w:rPr>
          <w:b/>
        </w:rPr>
        <w:lastRenderedPageBreak/>
        <w:t xml:space="preserve">Contents </w:t>
      </w:r>
    </w:p>
    <w:p w:rsidR="00AB5F84" w:rsidRDefault="00AB5F84" w:rsidP="00AB5F84"/>
    <w:p w:rsidR="00AB5F84" w:rsidRDefault="00AB5F84" w:rsidP="00AB5F84">
      <w:r>
        <w:t>Foreword</w:t>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t xml:space="preserve">3 </w:t>
      </w:r>
    </w:p>
    <w:p w:rsidR="00AB5F84" w:rsidRDefault="00AB5F84" w:rsidP="00AB5F84"/>
    <w:p w:rsidR="00AB5F84" w:rsidRDefault="00AB5F84" w:rsidP="00AB5F84">
      <w:r>
        <w:t xml:space="preserve">Part 1 </w:t>
      </w:r>
      <w:r w:rsidR="00C970A8">
        <w:rPr>
          <w:rFonts w:hint="eastAsia"/>
        </w:rPr>
        <w:tab/>
      </w:r>
      <w:r>
        <w:t>Legal Compliance and Your Competitive Edge</w:t>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t xml:space="preserve">5 </w:t>
      </w:r>
    </w:p>
    <w:p w:rsidR="00AB5F84" w:rsidRDefault="00AB5F84" w:rsidP="00AB5F84"/>
    <w:p w:rsidR="00AB5F84" w:rsidRDefault="00AB5F84" w:rsidP="00AB5F84">
      <w:r>
        <w:t xml:space="preserve">Part 2 </w:t>
      </w:r>
      <w:r w:rsidR="00C970A8">
        <w:rPr>
          <w:rFonts w:hint="eastAsia"/>
        </w:rPr>
        <w:tab/>
      </w:r>
      <w:r>
        <w:t xml:space="preserve">Sample </w:t>
      </w:r>
      <w:r w:rsidR="00C970A8">
        <w:t>Cases with Analysis</w:t>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t xml:space="preserve">16 </w:t>
      </w:r>
    </w:p>
    <w:p w:rsidR="00AB5F84" w:rsidRDefault="00AB5F84" w:rsidP="00AB5F84"/>
    <w:p w:rsidR="00AB5F84" w:rsidRDefault="00AB5F84" w:rsidP="00AB5F84">
      <w:r>
        <w:t xml:space="preserve">Part 3 </w:t>
      </w:r>
      <w:r w:rsidR="00C970A8">
        <w:rPr>
          <w:rFonts w:hint="eastAsia"/>
        </w:rPr>
        <w:tab/>
      </w:r>
      <w:r>
        <w:t>Prevention is Better than Cure</w:t>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t xml:space="preserve">50 </w:t>
      </w:r>
    </w:p>
    <w:p w:rsidR="00AB5F84" w:rsidRDefault="00AB5F84" w:rsidP="00AB5F84"/>
    <w:p w:rsidR="00AB5F84" w:rsidRDefault="00AB5F84" w:rsidP="00AB5F84">
      <w:r>
        <w:t xml:space="preserve">Part 4 </w:t>
      </w:r>
      <w:r w:rsidR="00C970A8">
        <w:rPr>
          <w:rFonts w:hint="eastAsia"/>
        </w:rPr>
        <w:tab/>
      </w:r>
      <w:r>
        <w:t>Professional Services and Assistance</w:t>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rsidR="00C970A8">
        <w:rPr>
          <w:rFonts w:hint="eastAsia"/>
        </w:rPr>
        <w:tab/>
      </w:r>
      <w:r>
        <w:t xml:space="preserve">53 </w:t>
      </w:r>
    </w:p>
    <w:p w:rsidR="00AB5F84" w:rsidRDefault="00AB5F84" w:rsidP="00AB5F84"/>
    <w:p w:rsidR="00AB5F84" w:rsidRDefault="00AB5F84" w:rsidP="00AB5F84">
      <w:pPr>
        <w:rPr>
          <w:rFonts w:hint="eastAsia"/>
        </w:rPr>
      </w:pPr>
      <w:r>
        <w:rPr>
          <w:rFonts w:hint="eastAsia"/>
        </w:rPr>
        <w:t>Appendix 1</w:t>
      </w:r>
      <w:r>
        <w:rPr>
          <w:rFonts w:hint="eastAsia"/>
        </w:rPr>
        <w:t>﹕</w:t>
      </w:r>
      <w:r>
        <w:rPr>
          <w:rFonts w:hint="eastAsia"/>
        </w:rPr>
        <w:t xml:space="preserve"> Prevention of Bribery Ordinance (PBO)</w:t>
      </w:r>
      <w:r w:rsidR="00C970A8">
        <w:rPr>
          <w:rFonts w:hint="eastAsia"/>
        </w:rPr>
        <w:tab/>
      </w:r>
      <w:r w:rsidR="00C970A8">
        <w:t>Sections 4, 8, 9, 11 and 19</w:t>
      </w:r>
      <w:r w:rsidR="00C970A8">
        <w:rPr>
          <w:rFonts w:hint="eastAsia"/>
        </w:rPr>
        <w:tab/>
      </w:r>
      <w:r>
        <w:rPr>
          <w:rFonts w:hint="eastAsia"/>
        </w:rPr>
        <w:t xml:space="preserve">56 </w:t>
      </w:r>
    </w:p>
    <w:p w:rsidR="00AB5F84" w:rsidRDefault="00AB5F84" w:rsidP="00AB5F84"/>
    <w:p w:rsidR="00AB5F84" w:rsidRDefault="00AB5F84" w:rsidP="00AB5F84">
      <w:r>
        <w:t xml:space="preserve">Appendix 2: </w:t>
      </w:r>
      <w:r w:rsidR="00C970A8">
        <w:rPr>
          <w:rFonts w:hint="eastAsia"/>
        </w:rPr>
        <w:tab/>
      </w:r>
      <w:r>
        <w:t xml:space="preserve">Code of Ethics Issued by </w:t>
      </w:r>
      <w:r w:rsidR="00C970A8">
        <w:t>the Estate Agents Authority</w:t>
      </w:r>
      <w:r w:rsidR="00C970A8">
        <w:rPr>
          <w:rFonts w:hint="eastAsia"/>
        </w:rPr>
        <w:tab/>
      </w:r>
      <w:r w:rsidR="00C970A8">
        <w:rPr>
          <w:rFonts w:hint="eastAsia"/>
        </w:rPr>
        <w:tab/>
      </w:r>
      <w:r w:rsidR="00C970A8">
        <w:rPr>
          <w:rFonts w:hint="eastAsia"/>
        </w:rPr>
        <w:tab/>
      </w:r>
      <w:r w:rsidR="00C970A8">
        <w:rPr>
          <w:rFonts w:hint="eastAsia"/>
        </w:rPr>
        <w:tab/>
      </w:r>
      <w:r>
        <w:t xml:space="preserve">61 </w:t>
      </w:r>
    </w:p>
    <w:p w:rsidR="00AB5F84" w:rsidRDefault="00AB5F84" w:rsidP="00AB5F84"/>
    <w:p w:rsidR="00AB5F84" w:rsidRDefault="00AB5F84" w:rsidP="00AB5F84">
      <w:pPr>
        <w:rPr>
          <w:rFonts w:hint="eastAsia"/>
        </w:rPr>
      </w:pPr>
      <w:r>
        <w:rPr>
          <w:rFonts w:hint="eastAsia"/>
        </w:rPr>
        <w:t>Appendix 3</w:t>
      </w:r>
      <w:r>
        <w:rPr>
          <w:rFonts w:hint="eastAsia"/>
        </w:rPr>
        <w:t>﹕</w:t>
      </w:r>
      <w:r>
        <w:rPr>
          <w:rFonts w:hint="eastAsia"/>
        </w:rPr>
        <w:t xml:space="preserve"> Ethics Management Principles for </w:t>
      </w:r>
      <w:r w:rsidR="00C970A8">
        <w:t>Estate Agencies</w:t>
      </w:r>
      <w:r>
        <w:rPr>
          <w:rFonts w:hint="eastAsia"/>
        </w:rPr>
        <w:t xml:space="preserve"> </w:t>
      </w:r>
      <w:r w:rsidR="00C970A8">
        <w:rPr>
          <w:rFonts w:hint="eastAsia"/>
        </w:rPr>
        <w:tab/>
      </w:r>
      <w:r w:rsidR="00C970A8">
        <w:rPr>
          <w:rFonts w:hint="eastAsia"/>
        </w:rPr>
        <w:tab/>
      </w:r>
      <w:r w:rsidR="00C970A8">
        <w:rPr>
          <w:rFonts w:hint="eastAsia"/>
        </w:rPr>
        <w:tab/>
      </w:r>
      <w:r w:rsidR="00C970A8">
        <w:rPr>
          <w:rFonts w:hint="eastAsia"/>
        </w:rPr>
        <w:tab/>
      </w:r>
      <w:r>
        <w:rPr>
          <w:rFonts w:hint="eastAsia"/>
        </w:rPr>
        <w:t xml:space="preserve">63 </w:t>
      </w:r>
    </w:p>
    <w:p w:rsidR="00AB5F84" w:rsidRDefault="00AB5F84" w:rsidP="00AB5F84">
      <w:r>
        <w:t xml:space="preserve">             </w:t>
      </w:r>
    </w:p>
    <w:p w:rsidR="00AB5F84" w:rsidRDefault="00AB5F84" w:rsidP="00AB5F84"/>
    <w:p w:rsidR="00AB5F84" w:rsidRDefault="00AB5F84" w:rsidP="00AB5F84"/>
    <w:p w:rsidR="00AB5F84" w:rsidRDefault="00C970A8" w:rsidP="00AB5F84">
      <w:r>
        <w:br w:type="page"/>
      </w:r>
    </w:p>
    <w:p w:rsidR="00C970A8" w:rsidRDefault="00C970A8" w:rsidP="00C970A8">
      <w:pPr>
        <w:jc w:val="both"/>
        <w:rPr>
          <w:rFonts w:hint="eastAsia"/>
          <w:lang w:eastAsia="zh-HK"/>
        </w:rPr>
      </w:pPr>
      <w:r>
        <w:rPr>
          <w:lang w:eastAsia="zh-HK"/>
        </w:rPr>
        <w:t xml:space="preserve">This publication aims to provide general guidance only and does not purport to deal with all possible issues that may arise in any given situation. Explanations of legal requirements under any relevant legislation are necessarily general and cannot be relied upon to relieve the need to review relevant legislation in detail, and where appropriate, to obtain specific legal advice on any issue which may arise. The Independent Commission Against Corruption (ICAC) and Estate Agents Authority (EAA) accept no liability or responsibility for any loss caused to any person acting or refraining from acting in any way as a result of any material contained in this publication. </w:t>
      </w:r>
    </w:p>
    <w:p w:rsidR="00C970A8" w:rsidRDefault="00C970A8" w:rsidP="00C970A8">
      <w:pPr>
        <w:jc w:val="both"/>
        <w:rPr>
          <w:rFonts w:hint="eastAsia"/>
          <w:lang w:eastAsia="zh-HK"/>
        </w:rPr>
      </w:pPr>
    </w:p>
    <w:p w:rsidR="00C970A8" w:rsidRDefault="00C970A8" w:rsidP="00C970A8">
      <w:pPr>
        <w:jc w:val="both"/>
        <w:rPr>
          <w:rFonts w:hint="eastAsia"/>
          <w:lang w:eastAsia="zh-HK"/>
        </w:rPr>
      </w:pPr>
      <w:r>
        <w:rPr>
          <w:lang w:eastAsia="zh-HK"/>
        </w:rPr>
        <w:t>The scenarios given are based on a mixture of past prosecutions and hypothetical cases and are for illustration only.</w:t>
      </w:r>
      <w:r>
        <w:rPr>
          <w:rFonts w:hint="eastAsia"/>
          <w:lang w:eastAsia="zh-HK"/>
        </w:rPr>
        <w:t xml:space="preserve"> </w:t>
      </w:r>
    </w:p>
    <w:p w:rsidR="00C970A8" w:rsidRDefault="00C970A8" w:rsidP="00C970A8">
      <w:pPr>
        <w:jc w:val="both"/>
        <w:rPr>
          <w:rFonts w:hint="eastAsia"/>
          <w:lang w:eastAsia="zh-HK"/>
        </w:rPr>
      </w:pPr>
    </w:p>
    <w:p w:rsidR="00C970A8" w:rsidRDefault="00C970A8" w:rsidP="00C970A8">
      <w:pPr>
        <w:jc w:val="both"/>
        <w:rPr>
          <w:rFonts w:hint="eastAsia"/>
          <w:lang w:eastAsia="zh-HK"/>
        </w:rPr>
      </w:pPr>
      <w:r>
        <w:rPr>
          <w:lang w:eastAsia="zh-HK"/>
        </w:rPr>
        <w:t xml:space="preserve">The male pronoun is used to cover references to both the male and female. No gender preference is intended. </w:t>
      </w:r>
    </w:p>
    <w:p w:rsidR="00C970A8" w:rsidRDefault="00C970A8" w:rsidP="00C970A8">
      <w:pPr>
        <w:jc w:val="both"/>
        <w:rPr>
          <w:rFonts w:hint="eastAsia"/>
          <w:lang w:eastAsia="zh-HK"/>
        </w:rPr>
      </w:pPr>
    </w:p>
    <w:p w:rsidR="00AB5F84" w:rsidRDefault="00C970A8" w:rsidP="00C970A8">
      <w:pPr>
        <w:jc w:val="both"/>
        <w:rPr>
          <w:rFonts w:hint="eastAsia"/>
          <w:lang w:eastAsia="zh-HK"/>
        </w:rPr>
      </w:pPr>
      <w:r>
        <w:rPr>
          <w:lang w:eastAsia="zh-HK"/>
        </w:rPr>
        <w:t>The copyright of this publication is co-owned by the ICAC and EAA</w:t>
      </w:r>
    </w:p>
    <w:p w:rsidR="00AB5F84" w:rsidRPr="006B6354" w:rsidRDefault="00C970A8" w:rsidP="00AB5F84">
      <w:pPr>
        <w:rPr>
          <w:b/>
          <w:color w:val="76923C"/>
        </w:rPr>
      </w:pPr>
      <w:r>
        <w:br w:type="page"/>
      </w:r>
      <w:r w:rsidR="00AB5F84" w:rsidRPr="006B6354">
        <w:rPr>
          <w:b/>
          <w:color w:val="76923C"/>
        </w:rPr>
        <w:lastRenderedPageBreak/>
        <w:t xml:space="preserve">Foreword </w:t>
      </w:r>
    </w:p>
    <w:p w:rsidR="00AB5F84" w:rsidRDefault="00AB5F84" w:rsidP="00AB5F84"/>
    <w:p w:rsidR="00C970A8" w:rsidRDefault="00C970A8" w:rsidP="00C970A8">
      <w:pPr>
        <w:jc w:val="both"/>
        <w:rPr>
          <w:rFonts w:hint="eastAsia"/>
        </w:rPr>
      </w:pPr>
      <w:r>
        <w:t xml:space="preserve">For many people, buying or selling a property will be the largest financial transaction they undertake in their lives. However, buyers, sellers and those renting out or leasing property are often unfamiliar with all the complicated procedures involved and may rely heavily on estate agency practitioners’ expertise and advice in making decisions. While the estate agency trade has greatly enhanced its professionalism in recent years to meet social and market needs, the integrity of practitioners has aroused concern both inside and outside the trade. Observation of the law and reliable, professional behaviour through fair and transparent action are essential to secure clients’ confidence and safeguard the trade’s image. </w:t>
      </w:r>
    </w:p>
    <w:p w:rsidR="00C970A8" w:rsidRDefault="00C970A8" w:rsidP="00C970A8">
      <w:pPr>
        <w:jc w:val="both"/>
      </w:pPr>
    </w:p>
    <w:p w:rsidR="00C970A8" w:rsidRDefault="00C970A8" w:rsidP="00C970A8">
      <w:pPr>
        <w:jc w:val="both"/>
        <w:rPr>
          <w:rFonts w:hint="eastAsia"/>
        </w:rPr>
      </w:pPr>
      <w:r>
        <w:t xml:space="preserve">Many of the cases handled by the ICAC and EAA involving corruption and breaches of professional conduct in the estate agency trade arise from practitioners’ ignorance of the relevant legislation and practices or from acting recklessly when managing interests in relation to their work. Such behaviour jeopardises practitioners’ career prospects and damages the reputation of the trade. Practitioners should therefore enhance their understanding of the relevant laws and code of conduct to protect their own interests as well as those of their employers and clients, and to protect the trade’s overall image. </w:t>
      </w:r>
    </w:p>
    <w:p w:rsidR="00C970A8" w:rsidRDefault="00C970A8" w:rsidP="00C970A8">
      <w:pPr>
        <w:jc w:val="both"/>
      </w:pPr>
    </w:p>
    <w:p w:rsidR="00AB5F84" w:rsidRDefault="00C970A8" w:rsidP="00C970A8">
      <w:pPr>
        <w:jc w:val="both"/>
      </w:pPr>
      <w:r>
        <w:t>This booklet aims to explain the provisions of the Prevention of Bribery Ordinance (PBO) and the relationship between the relevant laws and estate agency trade. Analysis of sample cases also seeks to raise practitioners’ awareness of what constitutes corruption in the context of the estate agency trade and how and when breaches of the EAA’s Code of Ethics can occur. In doing so, it is hoped that practitioners will gain a better understanding of their legal and ethical obligations, avoid breaking these provisions inadvertently and reduce the possibility of facing disciplinary actions.</w:t>
      </w:r>
    </w:p>
    <w:p w:rsidR="00AB5F84" w:rsidRPr="006B6354" w:rsidRDefault="00C970A8" w:rsidP="00C970A8">
      <w:pPr>
        <w:tabs>
          <w:tab w:val="left" w:pos="840"/>
        </w:tabs>
        <w:rPr>
          <w:b/>
          <w:color w:val="76923C"/>
        </w:rPr>
      </w:pPr>
      <w:r>
        <w:br w:type="page"/>
      </w:r>
      <w:r w:rsidR="00AB5F84" w:rsidRPr="006B6354">
        <w:rPr>
          <w:b/>
          <w:color w:val="76923C"/>
        </w:rPr>
        <w:lastRenderedPageBreak/>
        <w:t>Case 1:</w:t>
      </w:r>
      <w:r w:rsidRPr="006B6354">
        <w:rPr>
          <w:rFonts w:hint="eastAsia"/>
          <w:b/>
          <w:color w:val="76923C"/>
        </w:rPr>
        <w:t xml:space="preserve"> </w:t>
      </w:r>
      <w:r w:rsidR="00AB5F84" w:rsidRPr="006B6354">
        <w:rPr>
          <w:b/>
          <w:color w:val="76923C"/>
        </w:rPr>
        <w:t xml:space="preserve">Acceptance of advantages without separating public from private interests </w:t>
      </w:r>
    </w:p>
    <w:p w:rsidR="00AB5F84" w:rsidRDefault="00AB5F84" w:rsidP="00AB5F84"/>
    <w:p w:rsidR="00AB5F84" w:rsidRDefault="006B6354" w:rsidP="006B6354">
      <w:pPr>
        <w:jc w:val="both"/>
      </w:pPr>
      <w:r>
        <w:t>After graduating from secondary school, Gordon joined an estate agency. Mr Yu, a client, commissioned Gordon to sell four commercial units, specifying a minimum average price of $10,000 per square foot. As Gordon knew his cousin Johnny planned to invest in commercial buildings in that district, he recommended Mr Yu’s units and sold two of them to Johnny at around $9,000 per square foot. To thank Gordon, Johnny offered him “tea money” of $150,000. Gordon then found another buyer, Mr Pau, for the remaining two units, asking $12,000 per square foot in order to fulfil Mr Yu’s price instructions. After some negotiating, the transaction was concluded at $11,000 per square foot. Although Gordon succeeded in selling Mr Yu’s units at an average price of $10,000 per square foot, Mr Yu suspected that the agent had favoured Johnny and corruption was involved. He therefore reported the case to the ICAC. After an ICAC investigation, the Department of Justice decided to prosecute Gordon and Johnny. Gordon argued in court that the transaction had been concluded according to Mr Yu’s wishes and neither the estate agency nor Mr Yu had suffered any loss. However, the estate agency employing Gordon had stipulated that no agent was allowed to accept any private advantage from clients. The seller Mr Yu was also dissatisfied with Gordon’s behaviour. Gordon was convicted of accepting a bribe. He was sentenced to 15 months’ imprisonment and had to forfeit the $150,000 “tea money”. Johnny was sentenced to 15 months’ imprisonment and fined $100,000 for offering a bribe.</w:t>
      </w:r>
    </w:p>
    <w:p w:rsidR="00AB5F84" w:rsidRDefault="00AB5F84" w:rsidP="00AB5F84"/>
    <w:p w:rsidR="00AB5F84" w:rsidRPr="006B6354" w:rsidRDefault="00AB5F84" w:rsidP="00AB5F84">
      <w:pPr>
        <w:rPr>
          <w:rFonts w:hint="eastAsia"/>
          <w:b/>
          <w:color w:val="76923C"/>
        </w:rPr>
      </w:pPr>
      <w:r w:rsidRPr="006B6354">
        <w:rPr>
          <w:rFonts w:hint="eastAsia"/>
          <w:b/>
          <w:color w:val="76923C"/>
        </w:rPr>
        <w:t xml:space="preserve">Analysis </w:t>
      </w:r>
    </w:p>
    <w:p w:rsidR="00AB5F84" w:rsidRDefault="00AB5F84" w:rsidP="00AB5F84"/>
    <w:p w:rsidR="00AB5F84" w:rsidRDefault="00AB5F84" w:rsidP="006B6354">
      <w:pPr>
        <w:jc w:val="both"/>
      </w:pPr>
      <w:r>
        <w:t xml:space="preserve">Gordon privately accepted a reward of $150,000 from his relative Johnny without the permission of his principals (namely the estate agency and Mr Yu). Hence, he committed the offence of accepting a bribe under Section 9 of the PBO. Johnny committed an offence by offering a bribe. </w:t>
      </w:r>
    </w:p>
    <w:p w:rsidR="00AB5F84" w:rsidRDefault="00AB5F84" w:rsidP="006B6354">
      <w:pPr>
        <w:jc w:val="both"/>
      </w:pPr>
    </w:p>
    <w:p w:rsidR="00AB5F84" w:rsidRDefault="00AB5F84" w:rsidP="006B6354">
      <w:pPr>
        <w:jc w:val="both"/>
        <w:rPr>
          <w:rFonts w:hint="eastAsia"/>
        </w:rPr>
      </w:pPr>
      <w:r>
        <w:t xml:space="preserve">Gordon and Johnny were relatives. Gordon should have declared this interest to the estate agency and Mr Yu to avoid conflict of interest. </w:t>
      </w:r>
    </w:p>
    <w:p w:rsidR="006B6354" w:rsidRDefault="006B6354" w:rsidP="006B6354">
      <w:pPr>
        <w:jc w:val="both"/>
      </w:pPr>
    </w:p>
    <w:p w:rsidR="00AB5F84" w:rsidRDefault="00AB5F84" w:rsidP="006B6354">
      <w:pPr>
        <w:jc w:val="both"/>
      </w:pPr>
      <w:r>
        <w:t>When handling a transaction involving a relative and a client, Gordon should have</w:t>
      </w:r>
      <w:r>
        <w:rPr>
          <w:rFonts w:hint="eastAsia"/>
          <w:lang w:eastAsia="zh-HK"/>
        </w:rPr>
        <w:t xml:space="preserve"> </w:t>
      </w:r>
      <w:r>
        <w:t xml:space="preserve">remained neutral. Instead, he favoured his relative, resulting in loss to both Mr Yu and Mr Pau, the other buyer. Although Mr Yu had set a minimum average transaction price per square foot, Gordon should have tried to obtain the best possible price for the seller according to market conditions. Mr Pau had to acquire units at a higher price because of Gordon’s corrupt act. </w:t>
      </w:r>
    </w:p>
    <w:p w:rsidR="00AB5F84" w:rsidRDefault="00AB5F84" w:rsidP="00AB5F84"/>
    <w:p w:rsidR="00AB5F84" w:rsidRPr="006B6354" w:rsidRDefault="00C970A8" w:rsidP="00AB5F84">
      <w:pPr>
        <w:rPr>
          <w:b/>
          <w:color w:val="76923C"/>
        </w:rPr>
      </w:pPr>
      <w:r>
        <w:br w:type="page"/>
      </w:r>
      <w:r w:rsidR="00AB5F84" w:rsidRPr="006B6354">
        <w:rPr>
          <w:b/>
          <w:color w:val="76923C"/>
        </w:rPr>
        <w:lastRenderedPageBreak/>
        <w:t xml:space="preserve">Part 3 </w:t>
      </w:r>
      <w:r w:rsidR="006B6354">
        <w:rPr>
          <w:rFonts w:hint="eastAsia"/>
          <w:b/>
          <w:color w:val="76923C"/>
        </w:rPr>
        <w:tab/>
      </w:r>
      <w:r w:rsidR="00AB5F84" w:rsidRPr="006B6354">
        <w:rPr>
          <w:b/>
          <w:color w:val="76923C"/>
        </w:rPr>
        <w:t xml:space="preserve">Prevention is Better than Cure </w:t>
      </w:r>
    </w:p>
    <w:p w:rsidR="00AB5F84" w:rsidRDefault="00AB5F84" w:rsidP="00AB5F84"/>
    <w:p w:rsidR="00AB5F84" w:rsidRDefault="00AB5F84" w:rsidP="006B6354">
      <w:pPr>
        <w:jc w:val="both"/>
      </w:pPr>
      <w:r>
        <w:t xml:space="preserve">The PBO and relevant laws can be regarded as the last line of defence against corruption and malpractice. The most effective form of prevention lies with estate agency practitioners who should adhere to professional ethics by always carrying out their duties with honesty, fairness and justice and in so doing remove any chance of engaging in corruption or other offences. </w:t>
      </w:r>
    </w:p>
    <w:p w:rsidR="00AB5F84" w:rsidRDefault="00AB5F84" w:rsidP="00AB5F84"/>
    <w:p w:rsidR="00AB5F84" w:rsidRPr="006B6354" w:rsidRDefault="00AB5F84" w:rsidP="00AB5F84">
      <w:pPr>
        <w:rPr>
          <w:b/>
          <w:color w:val="76923C"/>
        </w:rPr>
      </w:pPr>
      <w:r w:rsidRPr="006B6354">
        <w:rPr>
          <w:b/>
          <w:color w:val="76923C"/>
        </w:rPr>
        <w:t xml:space="preserve">Front-line Practitioners </w:t>
      </w:r>
    </w:p>
    <w:p w:rsidR="00AB5F84" w:rsidRDefault="00AB5F84" w:rsidP="00AB5F84"/>
    <w:p w:rsidR="00AB5F84" w:rsidRDefault="00AB5F84" w:rsidP="006B6354">
      <w:pPr>
        <w:jc w:val="both"/>
      </w:pPr>
      <w:r>
        <w:t xml:space="preserve">Keen competition in the estate agency trade means front-line practitioners face many difficulties. To prevent breaches of estate agent’s rules and regulations, EAO and subsidiary legislation, EAA’s Code of Ethics, PBO and other legislation, practitioners should: </w:t>
      </w:r>
    </w:p>
    <w:p w:rsidR="00AB5F84" w:rsidRDefault="00AB5F84" w:rsidP="006B6354">
      <w:pPr>
        <w:jc w:val="both"/>
      </w:pPr>
    </w:p>
    <w:p w:rsidR="00AB5F84" w:rsidRDefault="00AB5F84" w:rsidP="006B6354">
      <w:pPr>
        <w:ind w:left="480" w:hangingChars="200" w:hanging="480"/>
        <w:jc w:val="both"/>
      </w:pPr>
      <w:r>
        <w:rPr>
          <w:rFonts w:hint="eastAsia"/>
        </w:rPr>
        <w:t>◆</w:t>
      </w:r>
      <w:r>
        <w:rPr>
          <w:rFonts w:hint="eastAsia"/>
        </w:rPr>
        <w:t xml:space="preserve"> Fully understand and abide by the laws of Hong Kong, </w:t>
      </w:r>
      <w:r>
        <w:t xml:space="preserve">and in particular the PBO and EAO. </w:t>
      </w:r>
    </w:p>
    <w:p w:rsidR="00AB5F84" w:rsidRDefault="00AB5F84" w:rsidP="006B6354">
      <w:pPr>
        <w:jc w:val="both"/>
      </w:pPr>
    </w:p>
    <w:p w:rsidR="00AB5F84" w:rsidRDefault="00AB5F84" w:rsidP="006B6354">
      <w:pPr>
        <w:ind w:left="360" w:hangingChars="150" w:hanging="360"/>
        <w:jc w:val="both"/>
      </w:pPr>
      <w:r>
        <w:rPr>
          <w:rFonts w:hint="eastAsia"/>
        </w:rPr>
        <w:t>◆</w:t>
      </w:r>
      <w:r>
        <w:rPr>
          <w:rFonts w:hint="eastAsia"/>
        </w:rPr>
        <w:t xml:space="preserve"> Fully understand and abide by the rules and regulations </w:t>
      </w:r>
      <w:r>
        <w:t xml:space="preserve">of their estate agency on the offering and acceptance of advantages, acceptance of entertainment, handling of conflict of interest situations and confidential information, etc. </w:t>
      </w:r>
    </w:p>
    <w:p w:rsidR="00AB5F84" w:rsidRDefault="00AB5F84" w:rsidP="006B6354">
      <w:pPr>
        <w:jc w:val="both"/>
      </w:pPr>
    </w:p>
    <w:p w:rsidR="00AB5F84" w:rsidRDefault="00AB5F84" w:rsidP="006B6354">
      <w:pPr>
        <w:ind w:left="360" w:hangingChars="150" w:hanging="360"/>
        <w:jc w:val="both"/>
      </w:pPr>
      <w:r>
        <w:rPr>
          <w:rFonts w:hint="eastAsia"/>
        </w:rPr>
        <w:t>◆</w:t>
      </w:r>
      <w:r>
        <w:rPr>
          <w:rFonts w:hint="eastAsia"/>
        </w:rPr>
        <w:t xml:space="preserve"> Fully understand and act according to the Code of</w:t>
      </w:r>
      <w:r>
        <w:t xml:space="preserve"> Ethics and practice circulars issued by EAA in order to provide quality services to clients and strengthen the trade’s professional image. </w:t>
      </w:r>
    </w:p>
    <w:p w:rsidR="00AB5F84" w:rsidRDefault="00AB5F84" w:rsidP="006B6354">
      <w:pPr>
        <w:jc w:val="both"/>
      </w:pPr>
    </w:p>
    <w:p w:rsidR="00AB5F84" w:rsidRDefault="00AB5F84" w:rsidP="006B6354">
      <w:pPr>
        <w:ind w:left="360" w:hangingChars="150" w:hanging="360"/>
        <w:jc w:val="both"/>
      </w:pPr>
      <w:r>
        <w:rPr>
          <w:rFonts w:hint="eastAsia"/>
        </w:rPr>
        <w:t>◆</w:t>
      </w:r>
      <w:r>
        <w:rPr>
          <w:rFonts w:hint="eastAsia"/>
        </w:rPr>
        <w:t xml:space="preserve"> Actively participate in training courses to enhance </w:t>
      </w:r>
      <w:r>
        <w:t xml:space="preserve">their understanding of the PBO and relevant laws and increase vigilance against corruption and malpractice. </w:t>
      </w:r>
    </w:p>
    <w:p w:rsidR="00AB5F84" w:rsidRPr="006B6354" w:rsidRDefault="006B6354" w:rsidP="00AB5F84">
      <w:pPr>
        <w:rPr>
          <w:b/>
          <w:color w:val="76923C"/>
        </w:rPr>
      </w:pPr>
      <w:r>
        <w:br w:type="page"/>
      </w:r>
      <w:r w:rsidR="00AB5F84" w:rsidRPr="006B6354">
        <w:rPr>
          <w:b/>
          <w:color w:val="76923C"/>
        </w:rPr>
        <w:lastRenderedPageBreak/>
        <w:t xml:space="preserve">Managers </w:t>
      </w:r>
    </w:p>
    <w:p w:rsidR="00AB5F84" w:rsidRDefault="00AB5F84" w:rsidP="00AB5F84"/>
    <w:p w:rsidR="006B6354" w:rsidRDefault="006B6354" w:rsidP="006B6354">
      <w:pPr>
        <w:jc w:val="both"/>
        <w:rPr>
          <w:rFonts w:hint="eastAsia"/>
        </w:rPr>
      </w:pPr>
      <w:r>
        <w:t xml:space="preserve">Managers in the estate agency trade play an important role in preventing corruption and malpractice. In addition to keeping to the standards expected of front-line practitioners, managers must supervise subordinates effectively by helping them to develop their potential, preventing them from making mistakes and putting supervisory accountability into practice. If a mistake is caused by a staff member’s inability or inexperience, managers should review whether a sound control system is in place and also provide training or counselling to stop a repeat occurrence. If the mistake relates to the integrity of a staff member, managers should adopt zero tolerance and deal with the case in accordance with the law so as to cultivate an ethical corporate culture and enhance staff’s knowledge of the estate agency’s stance and policies. Such an approach will also help staff realise they must not take their legal obligations lightly. </w:t>
      </w:r>
    </w:p>
    <w:p w:rsidR="006B6354" w:rsidRDefault="006B6354" w:rsidP="006B6354">
      <w:pPr>
        <w:jc w:val="both"/>
        <w:rPr>
          <w:rFonts w:hint="eastAsia"/>
        </w:rPr>
      </w:pPr>
    </w:p>
    <w:p w:rsidR="006B6354" w:rsidRDefault="006B6354" w:rsidP="006B6354">
      <w:pPr>
        <w:jc w:val="both"/>
        <w:rPr>
          <w:rFonts w:hint="eastAsia"/>
        </w:rPr>
      </w:pPr>
      <w:r>
        <w:t>Managers are not necessarily responsible for every single mistake made by their subordinates. However, they cannot absolve themselves for serious, frequent or common errors which go undetected or are tolerated. Turning a blind eye to malpractice invites criticism of a person’s management abilities and may lead to suspicion of involvement.</w:t>
      </w:r>
    </w:p>
    <w:sectPr w:rsidR="006B6354" w:rsidSect="00C970A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59E" w:rsidRDefault="0050659E" w:rsidP="00C970A8">
      <w:r>
        <w:separator/>
      </w:r>
    </w:p>
  </w:endnote>
  <w:endnote w:type="continuationSeparator" w:id="0">
    <w:p w:rsidR="0050659E" w:rsidRDefault="0050659E" w:rsidP="00C97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59E" w:rsidRDefault="0050659E" w:rsidP="00C970A8">
      <w:r>
        <w:separator/>
      </w:r>
    </w:p>
  </w:footnote>
  <w:footnote w:type="continuationSeparator" w:id="0">
    <w:p w:rsidR="0050659E" w:rsidRDefault="0050659E" w:rsidP="00C97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AES" w:cryptAlgorithmClass="hash" w:cryptAlgorithmType="typeAny" w:cryptAlgorithmSid="14" w:cryptSpinCount="100000" w:hash="4dy3xL8BAqfvK7jXhO+HKk/x5T5IKmOq7xOWf/BRrjKdYmwlq4FbNJ3Wf5bBdpp+1qp2ZIDDfNadFrSBTCI/rQ==" w:salt="bTyBo0+bQ7SwGS6jaRLpHQ=="/>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F84"/>
    <w:rsid w:val="001B6AFF"/>
    <w:rsid w:val="0050659E"/>
    <w:rsid w:val="006B6354"/>
    <w:rsid w:val="007334DC"/>
    <w:rsid w:val="00982BBE"/>
    <w:rsid w:val="00AB5F84"/>
    <w:rsid w:val="00C970A8"/>
    <w:rsid w:val="00D80B1F"/>
    <w:rsid w:val="00F47CA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D13488-415D-4853-B305-26ABAACD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GB"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970A8"/>
    <w:pPr>
      <w:tabs>
        <w:tab w:val="center" w:pos="4153"/>
        <w:tab w:val="right" w:pos="8306"/>
      </w:tabs>
      <w:snapToGrid w:val="0"/>
    </w:pPr>
    <w:rPr>
      <w:sz w:val="20"/>
      <w:szCs w:val="20"/>
    </w:rPr>
  </w:style>
  <w:style w:type="character" w:customStyle="1" w:styleId="a4">
    <w:name w:val="頁首 字元"/>
    <w:basedOn w:val="a0"/>
    <w:link w:val="a3"/>
    <w:uiPriority w:val="99"/>
    <w:semiHidden/>
    <w:rsid w:val="00C970A8"/>
    <w:rPr>
      <w:kern w:val="2"/>
    </w:rPr>
  </w:style>
  <w:style w:type="paragraph" w:styleId="a5">
    <w:name w:val="footer"/>
    <w:basedOn w:val="a"/>
    <w:link w:val="a6"/>
    <w:uiPriority w:val="99"/>
    <w:semiHidden/>
    <w:unhideWhenUsed/>
    <w:rsid w:val="00C970A8"/>
    <w:pPr>
      <w:tabs>
        <w:tab w:val="center" w:pos="4153"/>
        <w:tab w:val="right" w:pos="8306"/>
      </w:tabs>
      <w:snapToGrid w:val="0"/>
    </w:pPr>
    <w:rPr>
      <w:sz w:val="20"/>
      <w:szCs w:val="20"/>
    </w:rPr>
  </w:style>
  <w:style w:type="character" w:customStyle="1" w:styleId="a6">
    <w:name w:val="頁尾 字元"/>
    <w:basedOn w:val="a0"/>
    <w:link w:val="a5"/>
    <w:uiPriority w:val="99"/>
    <w:semiHidden/>
    <w:rsid w:val="00C970A8"/>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1308</Words>
  <Characters>7460</Characters>
  <Application>Microsoft Office Word</Application>
  <DocSecurity>8</DocSecurity>
  <Lines>62</Lines>
  <Paragraphs>17</Paragraphs>
  <ScaleCrop>false</ScaleCrop>
  <Company/>
  <LinksUpToDate>false</LinksUpToDate>
  <CharactersWithSpaces>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crdgeneraluser</dc:creator>
  <cp:keywords/>
  <cp:lastModifiedBy>ICAC</cp:lastModifiedBy>
  <cp:revision>2</cp:revision>
  <dcterms:created xsi:type="dcterms:W3CDTF">2019-07-10T07:48:00Z</dcterms:created>
  <dcterms:modified xsi:type="dcterms:W3CDTF">2019-07-10T07:48:00Z</dcterms:modified>
</cp:coreProperties>
</file>